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0"/>
      </w:pPr>
    </w:p>
    <w:p>
      <w:pPr>
        <w:spacing w:after="400"/>
        <w:jc w:val="center"/>
      </w:pPr>
      <w:r>
        <w:rPr>
          <w:rFonts w:ascii="Calibri" w:cs="Calibri" w:eastAsia="Calibri" w:hAnsi="Calibri"/>
          <w:color w:val="1A0A2E"/>
          <w:sz w:val="20"/>
          <w:szCs w:val="20"/>
        </w:rPr>
        <w:t xml:space="preserve">━━━━━━━━━━━━━━━━━━━━━━━━━━━━━━━━━</w:t>
      </w:r>
    </w:p>
    <w:p>
      <w:pPr>
        <w:spacing w:after="100" w:before="200"/>
        <w:jc w:val="center"/>
      </w:pPr>
      <w:r>
        <w:rPr>
          <w:rFonts w:ascii="Calibri" w:cs="Calibri" w:eastAsia="Calibri" w:hAnsi="Calibri"/>
          <w:b/>
          <w:bCs/>
          <w:color w:val="1A0A2E"/>
          <w:sz w:val="56"/>
          <w:szCs w:val="56"/>
        </w:rPr>
        <w:t xml:space="preserve">OPTIMANCER</w:t>
      </w:r>
    </w:p>
    <w:p>
      <w:pPr>
        <w:spacing w:after="200" w:before="0"/>
        <w:jc w:val="center"/>
      </w:pPr>
      <w:r>
        <w:rPr>
          <w:rFonts w:ascii="Calibri" w:cs="Calibri" w:eastAsia="Calibri" w:hAnsi="Calibri"/>
          <w:b/>
          <w:bCs/>
          <w:color w:val="1A0A2E"/>
          <w:sz w:val="40"/>
          <w:szCs w:val="40"/>
        </w:rPr>
        <w:t>MASTERCLASS CASE STUDY</w:t>
      </w:r>
    </w:p>
    <w:p>
      <w:pPr>
        <w:spacing w:after="400" w:before="200"/>
        <w:jc w:val="center"/>
      </w:pPr>
      <w:r>
        <w:rPr>
          <w:rFonts w:ascii="Calibri" w:cs="Calibri" w:eastAsia="Calibri" w:hAnsi="Calibri"/>
          <w:color w:val="1A0A2E"/>
          <w:sz w:val="20"/>
          <w:szCs w:val="20"/>
        </w:rPr>
        <w:t xml:space="preserve">━━━━━━━━━━━━━━━━━━━━━━━━━━━━━━━━━</w:t>
      </w:r>
    </w:p>
    <w:p>
      <w:pPr>
        <w:spacing w:after="120" w:before="300"/>
        <w:jc w:val="center"/>
      </w:pPr>
      <w:r>
        <w:rPr>
          <w:rFonts w:ascii="Calibri" w:cs="Calibri" w:eastAsia="Calibri" w:hAnsi="Calibri"/>
          <w:i/>
          <w:iCs/>
          <w:color w:val="444444"/>
          <w:sz w:val="28"/>
          <w:szCs w:val="28"/>
        </w:rPr>
        <w:t>How a Single Email Blast Generated $5,219 in 5 Days</w:t>
      </w:r>
    </w:p>
    <w:p>
      <w:pPr>
        <w:spacing w:after="0" w:before="600"/>
      </w:pPr>
    </w:p>
    <w:p>
      <w:pPr>
        <w:spacing w:after="60" w:before="100"/>
        <w:jc w:val="center"/>
      </w:pPr>
      <w:r>
        <w:rPr>
          <w:rFonts w:ascii="Calibri" w:cs="Calibri" w:eastAsia="Calibri" w:hAnsi="Calibri"/>
          <w:b/>
          <w:bCs/>
          <w:color w:val="1A0A2E"/>
          <w:sz w:val="24"/>
          <w:szCs w:val="24"/>
        </w:rPr>
        <w:t xml:space="preserve">Internet Dominators</w:t>
      </w:r>
    </w:p>
    <w:p>
      <w:pPr>
        <w:spacing w:after="60" w:before="0"/>
        <w:jc w:val="center"/>
      </w:pPr>
      <w:r>
        <w:rPr>
          <w:rFonts w:ascii="Calibri" w:cs="Calibri" w:eastAsia="Calibri" w:hAnsi="Calibri"/>
          <w:color w:val="444444"/>
          <w:sz w:val="22"/>
          <w:szCs w:val="22"/>
        </w:rPr>
        <w:t xml:space="preserve">March 2026</w:t>
      </w:r>
    </w:p>
    <w:p>
      <w:pPr>
        <w:spacing w:after="0" w:before="1600"/>
      </w:pPr>
    </w:p>
    <w:p>
      <w:pPr>
        <w:jc w:val="center"/>
      </w:pPr>
      <w:r>
        <w:rPr>
          <w:rFonts w:ascii="Calibri" w:cs="Calibri" w:eastAsia="Calibri" w:hAnsi="Calibri"/>
          <w:i/>
          <w:iCs/>
          <w:color w:val="444444"/>
          <w:sz w:val="20"/>
          <w:szCs w:val="20"/>
        </w:rPr>
        <w:t>Smash &amp; Grab Masterclass — March 2026 Launch</w:t>
      </w:r>
    </w:p>
    <w:p>
      <w:pPr>
        <w:sectPr>
          <w:pgSz w:w="12240" w:h="15840" w:orient="portrait"/>
          <w:pgMar w:top="1440" w:right="1440" w:bottom="1440" w:left="1440" w:header="708" w:footer="708" w:gutter="0"/>
          <w:pgNumType/>
          <w:docGrid w:linePitch="360"/>
        </w:sectPr>
      </w:pPr>
    </w:p>
    <w:p>
      <w:pPr>
        <w:spacing w:after="180" w:before="360"/>
      </w:pPr>
      <w:r>
        <w:rPr>
          <w:rFonts w:ascii="Calibri" w:cs="Calibri" w:eastAsia="Calibri" w:hAnsi="Calibri"/>
          <w:b/>
          <w:bCs/>
          <w:color w:val="1A0A2E"/>
          <w:sz w:val="28"/>
          <w:szCs w:val="28"/>
        </w:rPr>
        <w:t xml:space="preserve">THE CHALLENGE</w:t>
      </w:r>
    </w:p>
    <w:p>
      <w:pPr>
        <w:spacing w:after="80" w:before="80"/>
      </w:pPr>
      <w:r>
        <w:rPr>
          <w:rFonts w:ascii="Calibri" w:cs="Calibri" w:eastAsia="Calibri" w:hAnsi="Calibri"/>
          <w:color w:val="1A1A1A"/>
          <w:sz w:val="22"/>
          <w:szCs w:val="22"/>
        </w:rPr>
        <w:t xml:space="preserve">WordPress agencies face an increasingly crowded market. Differentiation is difficult when most agencies offer the same standard services — web design, hosting, basic SEO. Meanwhile, AI-powered optimization represents the next frontier, but existing tools are complex, expensive, and not designed for agency workflows.</w:t>
      </w:r>
    </w:p>
    <w:p>
      <w:pPr>
        <w:spacing w:after="0" w:before="80"/>
      </w:pPr>
    </w:p>
    <w:p>
      <w:pPr>
        <w:spacing w:after="80" w:before="80"/>
      </w:pPr>
      <w:r>
        <w:rPr>
          <w:rFonts w:ascii="Calibri" w:cs="Calibri" w:eastAsia="Calibri" w:hAnsi="Calibri"/>
          <w:color w:val="1A1A1A"/>
          <w:sz w:val="22"/>
          <w:szCs w:val="22"/>
        </w:rPr>
        <w:t xml:space="preserve">The core problem:</w:t>
      </w:r>
    </w:p>
    <w:p>
      <w:pPr>
        <w:pStyle w:val="ListParagraph"/>
        <w:numPr>
          <w:ilvl w:val="0"/>
          <w:numId w:val="2"/>
        </w:numPr>
        <w:spacing w:after="60" w:before="60"/>
      </w:pPr>
      <w:r>
        <w:rPr>
          <w:rFonts w:ascii="Calibri" w:cs="Calibri" w:eastAsia="Calibri" w:hAnsi="Calibri"/>
          <w:color w:val="1A1A1A"/>
          <w:sz w:val="22"/>
          <w:szCs w:val="22"/>
        </w:rPr>
        <w:t xml:space="preserve">Agencies struggle to stand out in a saturated WordPress services market</w:t>
      </w:r>
    </w:p>
    <w:p>
      <w:pPr>
        <w:pStyle w:val="ListParagraph"/>
        <w:numPr>
          <w:ilvl w:val="0"/>
          <w:numId w:val="2"/>
        </w:numPr>
        <w:spacing w:after="60" w:before="60"/>
      </w:pPr>
      <w:r>
        <w:rPr>
          <w:rFonts w:ascii="Calibri" w:cs="Calibri" w:eastAsia="Calibri" w:hAnsi="Calibri"/>
          <w:color w:val="1A1A1A"/>
          <w:sz w:val="22"/>
          <w:szCs w:val="22"/>
        </w:rPr>
        <w:t xml:space="preserve">AI optimization tools are powerful but require technical expertise most agencies lack</w:t>
      </w:r>
    </w:p>
    <w:p>
      <w:pPr>
        <w:pStyle w:val="ListParagraph"/>
        <w:numPr>
          <w:ilvl w:val="0"/>
          <w:numId w:val="2"/>
        </w:numPr>
        <w:spacing w:after="60" w:before="60"/>
      </w:pPr>
      <w:r>
        <w:rPr>
          <w:rFonts w:ascii="Calibri" w:cs="Calibri" w:eastAsia="Calibri" w:hAnsi="Calibri"/>
          <w:color w:val="1A1A1A"/>
          <w:sz w:val="22"/>
          <w:szCs w:val="22"/>
        </w:rPr>
        <w:t xml:space="preserve">Clients demand cutting-edge solutions, yet affordable plug-and-play options are scarce</w:t>
      </w:r>
    </w:p>
    <w:p>
      <w:pPr>
        <w:pStyle w:val="ListParagraph"/>
        <w:numPr>
          <w:ilvl w:val="0"/>
          <w:numId w:val="2"/>
        </w:numPr>
        <w:spacing w:after="60" w:before="60"/>
      </w:pPr>
      <w:r>
        <w:rPr>
          <w:rFonts w:ascii="Calibri" w:cs="Calibri" w:eastAsia="Calibri" w:hAnsi="Calibri"/>
          <w:color w:val="1A1A1A"/>
          <w:sz w:val="22"/>
          <w:szCs w:val="22"/>
        </w:rPr>
        <w:t xml:space="preserve">Agencies need a turnkey solution they can deploy and resell without deep AI knowledge</w:t>
      </w:r>
    </w:p>
    <w:p>
      <w:pPr>
        <w:spacing w:after="180" w:before="360"/>
      </w:pPr>
      <w:r>
        <w:rPr>
          <w:rFonts w:ascii="Calibri" w:cs="Calibri" w:eastAsia="Calibri" w:hAnsi="Calibri"/>
          <w:b/>
          <w:bCs/>
          <w:color w:val="1A0A2E"/>
          <w:sz w:val="28"/>
          <w:szCs w:val="28"/>
        </w:rPr>
        <w:t xml:space="preserve">THE SOLUTION</w:t>
      </w:r>
    </w:p>
    <w:p>
      <w:pPr>
        <w:spacing w:after="80" w:before="80"/>
      </w:pPr>
      <w:r>
        <w:rPr>
          <w:rFonts w:ascii="Calibri" w:cs="Calibri" w:eastAsia="Calibri" w:hAnsi="Calibri"/>
          <w:b/>
          <w:bCs/>
          <w:color w:val="1A1A1A"/>
          <w:sz w:val="22"/>
          <w:szCs w:val="22"/>
        </w:rPr>
        <w:t xml:space="preserve">Optimancer</w:t>
      </w:r>
      <w:r>
        <w:rPr>
          <w:rFonts w:ascii="Calibri" w:cs="Calibri" w:eastAsia="Calibri" w:hAnsi="Calibri"/>
          <w:color w:val="1A1A1A"/>
          <w:sz w:val="22"/>
          <w:szCs w:val="22"/>
        </w:rPr>
        <w:t xml:space="preserve"> is an AI optimization WordPress plugin built specifically for digital marketing agencies. Positioned as the first "push-button" AI visibility tool, it gives agencies a powerful capability they can immediately offer to clients — without needing machine learning expertise or complex setup.</w:t>
      </w:r>
    </w:p>
    <w:p>
      <w:pPr>
        <w:spacing w:after="0" w:before="80"/>
      </w:pPr>
    </w:p>
    <w:p>
      <w:pPr>
        <w:spacing w:after="80" w:before="80"/>
      </w:pPr>
      <w:r>
        <w:rPr>
          <w:rFonts w:ascii="Calibri" w:cs="Calibri" w:eastAsia="Calibri" w:hAnsi="Calibri"/>
          <w:b/>
          <w:bCs/>
          <w:color w:val="1A1A1A"/>
          <w:sz w:val="22"/>
          <w:szCs w:val="22"/>
        </w:rPr>
        <w:t xml:space="preserve">Product Tiers:</w:t>
      </w: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0B8D0" w:sz="1"/>
              <w:left w:val="single" w:color="C0B8D0" w:sz="1"/>
              <w:bottom w:val="single" w:color="C0B8D0" w:sz="1"/>
              <w:right w:val="single" w:color="C0B8D0" w:sz="1"/>
            </w:tcBorders>
            <w:shd w:fill="1A0A2E" w:val="clear"/>
            <w:tcMar>
              <w:top w:type="dxa" w:w="80"/>
              <w:left w:type="dxa" w:w="120"/>
              <w:bottom w:type="dxa" w:w="80"/>
              <w:right w:type="dxa" w:w="120"/>
            </w:tcMar>
          </w:tcPr>
          <w:p>
            <w:pPr>
              <w:jc w:val="left"/>
            </w:pPr>
            <w:r>
              <w:rPr>
                <w:rFonts w:ascii="Calibri" w:cs="Calibri" w:eastAsia="Calibri" w:hAnsi="Calibri"/>
                <w:b/>
                <w:bCs/>
                <w:color w:val="FFFFFF"/>
                <w:sz w:val="22"/>
                <w:szCs w:val="22"/>
              </w:rPr>
              <w:t xml:space="preserve">Tier</w:t>
            </w:r>
          </w:p>
        </w:tc>
        <w:tc>
          <w:tcPr>
            <w:tcW w:type="dxa" w:w="3120"/>
            <w:tcBorders>
              <w:top w:val="single" w:color="C0B8D0" w:sz="1"/>
              <w:left w:val="single" w:color="C0B8D0" w:sz="1"/>
              <w:bottom w:val="single" w:color="C0B8D0" w:sz="1"/>
              <w:right w:val="single" w:color="C0B8D0" w:sz="1"/>
            </w:tcBorders>
            <w:shd w:fill="1A0A2E" w:val="clear"/>
            <w:tcMar>
              <w:top w:type="dxa" w:w="80"/>
              <w:left w:type="dxa" w:w="120"/>
              <w:bottom w:type="dxa" w:w="80"/>
              <w:right w:type="dxa" w:w="120"/>
            </w:tcMar>
          </w:tcPr>
          <w:p>
            <w:pPr>
              <w:jc w:val="right"/>
            </w:pPr>
            <w:r>
              <w:rPr>
                <w:rFonts w:ascii="Calibri" w:cs="Calibri" w:eastAsia="Calibri" w:hAnsi="Calibri"/>
                <w:b/>
                <w:bCs/>
                <w:color w:val="FFFFFF"/>
                <w:sz w:val="22"/>
                <w:szCs w:val="22"/>
              </w:rPr>
              <w:t>Masterclass Price</w:t>
            </w:r>
          </w:p>
        </w:tc>
        <w:tc>
          <w:tcPr>
            <w:tcW w:type="dxa" w:w="3120"/>
            <w:tcBorders>
              <w:top w:val="single" w:color="C0B8D0" w:sz="1"/>
              <w:left w:val="single" w:color="C0B8D0" w:sz="1"/>
              <w:bottom w:val="single" w:color="C0B8D0" w:sz="1"/>
              <w:right w:val="single" w:color="C0B8D0" w:sz="1"/>
            </w:tcBorders>
            <w:shd w:fill="1A0A2E" w:val="clear"/>
            <w:tcMar>
              <w:top w:type="dxa" w:w="80"/>
              <w:left w:type="dxa" w:w="120"/>
              <w:bottom w:type="dxa" w:w="80"/>
              <w:right w:type="dxa" w:w="120"/>
            </w:tcMar>
          </w:tcPr>
          <w:p>
            <w:pPr>
              <w:jc w:val="right"/>
            </w:pPr>
            <w:r>
              <w:rPr>
                <w:rFonts w:ascii="Calibri" w:cs="Calibri" w:eastAsia="Calibri" w:hAnsi="Calibri"/>
                <w:b/>
                <w:bCs/>
                <w:color w:val="FFFFFF"/>
                <w:sz w:val="22"/>
                <w:szCs w:val="22"/>
              </w:rPr>
              <w:t xml:space="preserve">Retail Price</w:t>
            </w:r>
          </w:p>
        </w:tc>
      </w:tr>
      <w:tr>
        <w:tc>
          <w:tcPr>
            <w:tcW w:type="dxa" w:w="312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left"/>
            </w:pPr>
            <w:r>
              <w:rPr>
                <w:rFonts w:ascii="Calibri" w:cs="Calibri" w:eastAsia="Calibri" w:hAnsi="Calibri"/>
                <w:color w:val="1A1A1A"/>
                <w:sz w:val="22"/>
                <w:szCs w:val="22"/>
              </w:rPr>
              <w:t xml:space="preserve">Business</w:t>
            </w:r>
          </w:p>
        </w:tc>
        <w:tc>
          <w:tcPr>
            <w:tcW w:type="dxa" w:w="312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right"/>
            </w:pPr>
            <w:r>
              <w:rPr>
                <w:rFonts w:ascii="Calibri" w:cs="Calibri" w:eastAsia="Calibri" w:hAnsi="Calibri"/>
                <w:color w:val="1A1A1A"/>
                <w:sz w:val="22"/>
                <w:szCs w:val="22"/>
              </w:rPr>
              <w:t xml:space="preserve">$27/mo</w:t>
            </w:r>
          </w:p>
        </w:tc>
        <w:tc>
          <w:tcPr>
            <w:tcW w:type="dxa" w:w="312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right"/>
            </w:pPr>
            <w:r>
              <w:rPr>
                <w:rFonts w:ascii="Calibri" w:cs="Calibri" w:eastAsia="Calibri" w:hAnsi="Calibri"/>
                <w:color w:val="1A1A1A"/>
                <w:sz w:val="22"/>
                <w:szCs w:val="22"/>
              </w:rPr>
              <w:t xml:space="preserve">$97/mo</w:t>
            </w:r>
          </w:p>
        </w:tc>
      </w:tr>
      <w:tr>
        <w:tc>
          <w:tcPr>
            <w:tcW w:type="dxa" w:w="312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pPr>
              <w:jc w:val="left"/>
            </w:pPr>
            <w:r>
              <w:rPr>
                <w:rFonts w:ascii="Calibri" w:cs="Calibri" w:eastAsia="Calibri" w:hAnsi="Calibri"/>
                <w:color w:val="1A1A1A"/>
                <w:sz w:val="22"/>
                <w:szCs w:val="22"/>
              </w:rPr>
              <w:t xml:space="preserve">Pro</w:t>
            </w:r>
          </w:p>
        </w:tc>
        <w:tc>
          <w:tcPr>
            <w:tcW w:type="dxa" w:w="312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pPr>
              <w:jc w:val="right"/>
            </w:pPr>
            <w:r>
              <w:rPr>
                <w:rFonts w:ascii="Calibri" w:cs="Calibri" w:eastAsia="Calibri" w:hAnsi="Calibri"/>
                <w:color w:val="1A1A1A"/>
                <w:sz w:val="22"/>
                <w:szCs w:val="22"/>
              </w:rPr>
              <w:t xml:space="preserve">$77/mo</w:t>
            </w:r>
          </w:p>
        </w:tc>
        <w:tc>
          <w:tcPr>
            <w:tcW w:type="dxa" w:w="312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pPr>
              <w:jc w:val="right"/>
            </w:pPr>
            <w:r>
              <w:rPr>
                <w:rFonts w:ascii="Calibri" w:cs="Calibri" w:eastAsia="Calibri" w:hAnsi="Calibri"/>
                <w:color w:val="1A1A1A"/>
                <w:sz w:val="22"/>
                <w:szCs w:val="22"/>
              </w:rPr>
              <w:t xml:space="preserve">$197/mo</w:t>
            </w:r>
          </w:p>
        </w:tc>
      </w:tr>
      <w:tr>
        <w:tc>
          <w:tcPr>
            <w:tcW w:type="dxa" w:w="312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left"/>
            </w:pPr>
            <w:r>
              <w:rPr>
                <w:rFonts w:ascii="Calibri" w:cs="Calibri" w:eastAsia="Calibri" w:hAnsi="Calibri"/>
                <w:color w:val="1A1A1A"/>
                <w:sz w:val="22"/>
                <w:szCs w:val="22"/>
              </w:rPr>
              <w:t xml:space="preserve">Agency</w:t>
            </w:r>
          </w:p>
        </w:tc>
        <w:tc>
          <w:tcPr>
            <w:tcW w:type="dxa" w:w="312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right"/>
            </w:pPr>
            <w:r>
              <w:rPr>
                <w:rFonts w:ascii="Calibri" w:cs="Calibri" w:eastAsia="Calibri" w:hAnsi="Calibri"/>
                <w:color w:val="1A1A1A"/>
                <w:sz w:val="22"/>
                <w:szCs w:val="22"/>
              </w:rPr>
              <w:t xml:space="preserve">$127/mo</w:t>
            </w:r>
          </w:p>
        </w:tc>
        <w:tc>
          <w:tcPr>
            <w:tcW w:type="dxa" w:w="312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right"/>
            </w:pPr>
            <w:r>
              <w:rPr>
                <w:rFonts w:ascii="Calibri" w:cs="Calibri" w:eastAsia="Calibri" w:hAnsi="Calibri"/>
                <w:color w:val="1A1A1A"/>
                <w:sz w:val="22"/>
                <w:szCs w:val="22"/>
              </w:rPr>
              <w:t xml:space="preserve">$497/mo</w:t>
            </w:r>
          </w:p>
        </w:tc>
      </w:tr>
    </w:tbl>
    <w:p>
      <w:pPr>
        <w:spacing w:after="0" w:before="120"/>
      </w:pPr>
    </w:p>
    <w:p>
      <w:pPr>
        <w:spacing w:after="80" w:before="80"/>
      </w:pPr>
      <w:r>
        <w:rPr>
          <w:rFonts w:ascii="Calibri" w:cs="Calibri" w:eastAsia="Calibri" w:hAnsi="Calibri"/>
          <w:color w:val="1A1A1A"/>
          <w:sz w:val="22"/>
          <w:szCs w:val="22"/>
        </w:rPr>
        <w:t xml:space="preserve">The launch strategy centered on a </w:t>
      </w:r>
      <w:r>
        <w:rPr>
          <w:rFonts w:ascii="Calibri" w:cs="Calibri" w:eastAsia="Calibri" w:hAnsi="Calibri"/>
          <w:b/>
          <w:bCs/>
          <w:color w:val="1A1A1A"/>
          <w:sz w:val="22"/>
          <w:szCs w:val="22"/>
        </w:rPr>
        <w:t>"Smash &amp; Grab" masterclass format</w:t>
      </w:r>
      <w:r>
        <w:rPr>
          <w:rFonts w:ascii="Calibri" w:cs="Calibri" w:eastAsia="Calibri" w:hAnsi="Calibri"/>
          <w:color w:val="1A1A1A"/>
          <w:sz w:val="22"/>
          <w:szCs w:val="22"/>
        </w:rPr>
        <w:t xml:space="preserve"> — a fast-paced, high-value, action-oriented live presentation designed to demonstrate the plugin's capabilities and drive immediate purchasing decisions. This format prioritizes quick wins and tangible results over lengthy pitches.</w:t>
      </w:r>
    </w:p>
    <w:p>
      <w:pPr>
        <w:spacing w:after="180" w:before="360"/>
      </w:pPr>
      <w:r>
        <w:rPr>
          <w:rFonts w:ascii="Calibri" w:cs="Calibri" w:eastAsia="Calibri" w:hAnsi="Calibri"/>
          <w:b/>
          <w:bCs/>
          <w:color w:val="1A0A2E"/>
          <w:sz w:val="28"/>
          <w:szCs w:val="28"/>
        </w:rPr>
        <w:t xml:space="preserve">LAUNCH METRICS — THE NUMBERS</w:t>
      </w:r>
    </w:p>
    <w:p>
      <w:pPr>
        <w:spacing w:after="80" w:before="80"/>
      </w:pPr>
      <w:r>
        <w:rPr>
          <w:rFonts w:ascii="Calibri" w:cs="Calibri" w:eastAsia="Calibri" w:hAnsi="Calibri"/>
          <w:color w:val="1A1A1A"/>
          <w:sz w:val="22"/>
          <w:szCs w:val="22"/>
        </w:rPr>
        <w:t xml:space="preserve">The March 2026 launch generated extraordinary results from a single email blast. Below is the complete funnel breakdown:</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2280"/>
        <w:gridCol w:w="3280"/>
      </w:tblGrid>
      <w:tr>
        <w:trPr>
          <w:tblHeader/>
        </w:trPr>
        <w:tc>
          <w:tcPr>
            <w:tcW w:type="dxa" w:w="3800"/>
            <w:tcBorders>
              <w:top w:val="single" w:color="C0B8D0" w:sz="1"/>
              <w:left w:val="single" w:color="C0B8D0" w:sz="1"/>
              <w:bottom w:val="single" w:color="C0B8D0" w:sz="1"/>
              <w:right w:val="single" w:color="C0B8D0" w:sz="1"/>
            </w:tcBorders>
            <w:shd w:fill="1A0A2E" w:val="clear"/>
            <w:tcMar>
              <w:top w:type="dxa" w:w="80"/>
              <w:left w:type="dxa" w:w="120"/>
              <w:bottom w:type="dxa" w:w="80"/>
              <w:right w:type="dxa" w:w="120"/>
            </w:tcMar>
          </w:tcPr>
          <w:p>
            <w:r>
              <w:rPr>
                <w:rFonts w:ascii="Calibri" w:cs="Calibri" w:eastAsia="Calibri" w:hAnsi="Calibri"/>
                <w:b/>
                <w:bCs/>
                <w:color w:val="FFFFFF"/>
                <w:sz w:val="22"/>
                <w:szCs w:val="22"/>
              </w:rPr>
              <w:t xml:space="preserve">Funnel Stage</w:t>
            </w:r>
          </w:p>
        </w:tc>
        <w:tc>
          <w:tcPr>
            <w:tcW w:type="dxa" w:w="2280"/>
            <w:tcBorders>
              <w:top w:val="single" w:color="C0B8D0" w:sz="1"/>
              <w:left w:val="single" w:color="C0B8D0" w:sz="1"/>
              <w:bottom w:val="single" w:color="C0B8D0" w:sz="1"/>
              <w:right w:val="single" w:color="C0B8D0" w:sz="1"/>
            </w:tcBorders>
            <w:shd w:fill="1A0A2E" w:val="clear"/>
            <w:tcMar>
              <w:top w:type="dxa" w:w="80"/>
              <w:left w:type="dxa" w:w="120"/>
              <w:bottom w:type="dxa" w:w="80"/>
              <w:right w:type="dxa" w:w="120"/>
            </w:tcMar>
          </w:tcPr>
          <w:p>
            <w:pPr>
              <w:jc w:val="right"/>
            </w:pPr>
            <w:r>
              <w:rPr>
                <w:rFonts w:ascii="Calibri" w:cs="Calibri" w:eastAsia="Calibri" w:hAnsi="Calibri"/>
                <w:b/>
                <w:bCs/>
                <w:color w:val="FFFFFF"/>
                <w:sz w:val="22"/>
                <w:szCs w:val="22"/>
              </w:rPr>
              <w:t xml:space="preserve">Count / Value</w:t>
            </w:r>
          </w:p>
        </w:tc>
        <w:tc>
          <w:tcPr>
            <w:tcW w:type="dxa" w:w="3280"/>
            <w:tcBorders>
              <w:top w:val="single" w:color="C0B8D0" w:sz="1"/>
              <w:left w:val="single" w:color="C0B8D0" w:sz="1"/>
              <w:bottom w:val="single" w:color="C0B8D0" w:sz="1"/>
              <w:right w:val="single" w:color="C0B8D0" w:sz="1"/>
            </w:tcBorders>
            <w:shd w:fill="1A0A2E" w:val="clear"/>
            <w:tcMar>
              <w:top w:type="dxa" w:w="80"/>
              <w:left w:type="dxa" w:w="120"/>
              <w:bottom w:type="dxa" w:w="80"/>
              <w:right w:type="dxa" w:w="120"/>
            </w:tcMar>
          </w:tcPr>
          <w:p>
            <w:pPr>
              <w:jc w:val="right"/>
            </w:pPr>
            <w:r>
              <w:rPr>
                <w:rFonts w:ascii="Calibri" w:cs="Calibri" w:eastAsia="Calibri" w:hAnsi="Calibri"/>
                <w:b/>
                <w:bCs/>
                <w:color w:val="FFFFFF"/>
                <w:sz w:val="22"/>
                <w:szCs w:val="22"/>
              </w:rPr>
              <w:t xml:space="preserve">Conversion Rate</w:t>
            </w:r>
          </w:p>
        </w:tc>
      </w:tr>
      <w:tr>
        <w:tc>
          <w:tcPr>
            <w:tcW w:type="dxa" w:w="380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r>
              <w:rPr>
                <w:rFonts w:ascii="Calibri" w:cs="Calibri" w:eastAsia="Calibri" w:hAnsi="Calibri"/>
                <w:b w:val="false"/>
                <w:bCs w:val="false"/>
                <w:color w:val="1A1A1A"/>
                <w:sz w:val="22"/>
                <w:szCs w:val="22"/>
              </w:rPr>
              <w:t xml:space="preserve">Email Clicks (Launch Blast)</w:t>
            </w:r>
          </w:p>
        </w:tc>
        <w:tc>
          <w:tcPr>
            <w:tcW w:type="dxa" w:w="228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right"/>
            </w:pPr>
            <w:r>
              <w:rPr>
                <w:rFonts w:ascii="Calibri" w:cs="Calibri" w:eastAsia="Calibri" w:hAnsi="Calibri"/>
                <w:b w:val="false"/>
                <w:bCs w:val="false"/>
                <w:color w:val="1A1A1A"/>
                <w:sz w:val="22"/>
                <w:szCs w:val="22"/>
              </w:rPr>
              <w:t xml:space="preserve">595</w:t>
            </w:r>
          </w:p>
        </w:tc>
        <w:tc>
          <w:tcPr>
            <w:tcW w:type="dxa" w:w="328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right"/>
            </w:pPr>
            <w:r>
              <w:rPr>
                <w:rFonts w:ascii="Calibri" w:cs="Calibri" w:eastAsia="Calibri" w:hAnsi="Calibri"/>
                <w:b w:val="false"/>
                <w:bCs w:val="false"/>
                <w:i/>
                <w:iCs/>
                <w:color w:val="444444"/>
                <w:sz w:val="22"/>
                <w:szCs w:val="22"/>
              </w:rPr>
              <w:t xml:space="preserve">—</w:t>
            </w:r>
          </w:p>
        </w:tc>
      </w:tr>
      <w:tr>
        <w:tc>
          <w:tcPr>
            <w:tcW w:type="dxa" w:w="380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r>
              <w:rPr>
                <w:rFonts w:ascii="Calibri" w:cs="Calibri" w:eastAsia="Calibri" w:hAnsi="Calibri"/>
                <w:b w:val="false"/>
                <w:bCs w:val="false"/>
                <w:color w:val="1A1A1A"/>
                <w:sz w:val="22"/>
                <w:szCs w:val="22"/>
              </w:rPr>
              <w:t>Masterclass Registrations</w:t>
            </w:r>
          </w:p>
        </w:tc>
        <w:tc>
          <w:tcPr>
            <w:tcW w:type="dxa" w:w="228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pPr>
              <w:jc w:val="right"/>
            </w:pPr>
            <w:r>
              <w:rPr>
                <w:rFonts w:ascii="Calibri" w:cs="Calibri" w:eastAsia="Calibri" w:hAnsi="Calibri"/>
                <w:b w:val="false"/>
                <w:bCs w:val="false"/>
                <w:color w:val="1A1A1A"/>
                <w:sz w:val="22"/>
                <w:szCs w:val="22"/>
              </w:rPr>
              <w:t xml:space="preserve">120</w:t>
            </w:r>
          </w:p>
        </w:tc>
        <w:tc>
          <w:tcPr>
            <w:tcW w:type="dxa" w:w="328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pPr>
              <w:jc w:val="right"/>
            </w:pPr>
            <w:r>
              <w:rPr>
                <w:rFonts w:ascii="Calibri" w:cs="Calibri" w:eastAsia="Calibri" w:hAnsi="Calibri"/>
                <w:b w:val="false"/>
                <w:bCs w:val="false"/>
                <w:i w:val="false"/>
                <w:iCs w:val="false"/>
                <w:color w:val="444444"/>
                <w:sz w:val="22"/>
                <w:szCs w:val="22"/>
              </w:rPr>
              <w:t xml:space="preserve">20.2% opt-in rate</w:t>
            </w:r>
          </w:p>
        </w:tc>
      </w:tr>
      <w:tr>
        <w:tc>
          <w:tcPr>
            <w:tcW w:type="dxa" w:w="380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r>
              <w:rPr>
                <w:rFonts w:ascii="Calibri" w:cs="Calibri" w:eastAsia="Calibri" w:hAnsi="Calibri"/>
                <w:b w:val="false"/>
                <w:bCs w:val="false"/>
                <w:color w:val="1A1A1A"/>
                <w:sz w:val="22"/>
                <w:szCs w:val="22"/>
              </w:rPr>
              <w:t xml:space="preserve">Live Attendees</w:t>
            </w:r>
          </w:p>
        </w:tc>
        <w:tc>
          <w:tcPr>
            <w:tcW w:type="dxa" w:w="228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right"/>
            </w:pPr>
            <w:r>
              <w:rPr>
                <w:rFonts w:ascii="Calibri" w:cs="Calibri" w:eastAsia="Calibri" w:hAnsi="Calibri"/>
                <w:b w:val="false"/>
                <w:bCs w:val="false"/>
                <w:color w:val="1A1A1A"/>
                <w:sz w:val="22"/>
                <w:szCs w:val="22"/>
              </w:rPr>
              <w:t xml:space="preserve">17</w:t>
            </w:r>
          </w:p>
        </w:tc>
        <w:tc>
          <w:tcPr>
            <w:tcW w:type="dxa" w:w="328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right"/>
            </w:pPr>
            <w:r>
              <w:rPr>
                <w:rFonts w:ascii="Calibri" w:cs="Calibri" w:eastAsia="Calibri" w:hAnsi="Calibri"/>
                <w:b w:val="false"/>
                <w:bCs w:val="false"/>
                <w:i w:val="false"/>
                <w:iCs w:val="false"/>
                <w:color w:val="444444"/>
                <w:sz w:val="22"/>
                <w:szCs w:val="22"/>
              </w:rPr>
              <w:t xml:space="preserve">14.2% show rate</w:t>
            </w:r>
          </w:p>
        </w:tc>
      </w:tr>
      <w:tr>
        <w:tc>
          <w:tcPr>
            <w:tcW w:type="dxa" w:w="380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r>
              <w:rPr>
                <w:rFonts w:ascii="Calibri" w:cs="Calibri" w:eastAsia="Calibri" w:hAnsi="Calibri"/>
                <w:b w:val="false"/>
                <w:bCs w:val="false"/>
                <w:color w:val="1A1A1A"/>
                <w:sz w:val="22"/>
                <w:szCs w:val="22"/>
              </w:rPr>
              <w:t>Live Sales (During Masterclass)</w:t>
            </w:r>
          </w:p>
        </w:tc>
        <w:tc>
          <w:tcPr>
            <w:tcW w:type="dxa" w:w="228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pPr>
              <w:jc w:val="right"/>
            </w:pPr>
            <w:r>
              <w:rPr>
                <w:rFonts w:ascii="Calibri" w:cs="Calibri" w:eastAsia="Calibri" w:hAnsi="Calibri"/>
                <w:b w:val="false"/>
                <w:bCs w:val="false"/>
                <w:color w:val="1A1A1A"/>
                <w:sz w:val="22"/>
                <w:szCs w:val="22"/>
              </w:rPr>
              <w:t xml:space="preserve">7</w:t>
            </w:r>
          </w:p>
        </w:tc>
        <w:tc>
          <w:tcPr>
            <w:tcW w:type="dxa" w:w="328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pPr>
              <w:jc w:val="right"/>
            </w:pPr>
            <w:r>
              <w:rPr>
                <w:rFonts w:ascii="Calibri" w:cs="Calibri" w:eastAsia="Calibri" w:hAnsi="Calibri"/>
                <w:b w:val="false"/>
                <w:bCs w:val="false"/>
                <w:i w:val="false"/>
                <w:iCs w:val="false"/>
                <w:color w:val="444444"/>
                <w:sz w:val="22"/>
                <w:szCs w:val="22"/>
              </w:rPr>
              <w:t xml:space="preserve">41.2% close rate</w:t>
            </w:r>
          </w:p>
        </w:tc>
      </w:tr>
      <w:tr>
        <w:tc>
          <w:tcPr>
            <w:tcW w:type="dxa" w:w="380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r>
              <w:rPr>
                <w:rFonts w:ascii="Calibri" w:cs="Calibri" w:eastAsia="Calibri" w:hAnsi="Calibri"/>
                <w:b w:val="false"/>
                <w:bCs w:val="false"/>
                <w:color w:val="1A1A1A"/>
                <w:sz w:val="22"/>
                <w:szCs w:val="22"/>
              </w:rPr>
              <w:t xml:space="preserve">Additional Sales (Replay Sequence)</w:t>
            </w:r>
          </w:p>
        </w:tc>
        <w:tc>
          <w:tcPr>
            <w:tcW w:type="dxa" w:w="228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right"/>
            </w:pPr>
            <w:r>
              <w:rPr>
                <w:rFonts w:ascii="Calibri" w:cs="Calibri" w:eastAsia="Calibri" w:hAnsi="Calibri"/>
                <w:b w:val="false"/>
                <w:bCs w:val="false"/>
                <w:color w:val="1A1A1A"/>
                <w:sz w:val="22"/>
                <w:szCs w:val="22"/>
              </w:rPr>
              <w:t xml:space="preserve">40</w:t>
            </w:r>
          </w:p>
        </w:tc>
        <w:tc>
          <w:tcPr>
            <w:tcW w:type="dxa" w:w="328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right"/>
            </w:pPr>
            <w:r>
              <w:rPr>
                <w:rFonts w:ascii="Calibri" w:cs="Calibri" w:eastAsia="Calibri" w:hAnsi="Calibri"/>
                <w:b w:val="false"/>
                <w:bCs w:val="false"/>
                <w:i w:val="false"/>
                <w:iCs w:val="false"/>
                <w:color w:val="444444"/>
                <w:sz w:val="22"/>
                <w:szCs w:val="22"/>
              </w:rPr>
              <w:t>85.1% of total sales</w:t>
            </w:r>
          </w:p>
        </w:tc>
      </w:tr>
      <w:tr>
        <w:tc>
          <w:tcPr>
            <w:tcW w:type="dxa" w:w="380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r>
              <w:rPr>
                <w:rFonts w:ascii="Calibri" w:cs="Calibri" w:eastAsia="Calibri" w:hAnsi="Calibri"/>
                <w:b/>
                <w:bCs/>
                <w:color w:val="1A1A1A"/>
                <w:sz w:val="22"/>
                <w:szCs w:val="22"/>
              </w:rPr>
              <w:t xml:space="preserve">Total Sales</w:t>
            </w:r>
          </w:p>
        </w:tc>
        <w:tc>
          <w:tcPr>
            <w:tcW w:type="dxa" w:w="228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pPr>
              <w:jc w:val="right"/>
            </w:pPr>
            <w:r>
              <w:rPr>
                <w:rFonts w:ascii="Calibri" w:cs="Calibri" w:eastAsia="Calibri" w:hAnsi="Calibri"/>
                <w:b/>
                <w:bCs/>
                <w:color w:val="1A1A1A"/>
                <w:sz w:val="22"/>
                <w:szCs w:val="22"/>
              </w:rPr>
              <w:t xml:space="preserve">47</w:t>
            </w:r>
          </w:p>
        </w:tc>
        <w:tc>
          <w:tcPr>
            <w:tcW w:type="dxa" w:w="328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pPr>
              <w:jc w:val="right"/>
            </w:pPr>
            <w:r>
              <w:rPr>
                <w:rFonts w:ascii="Calibri" w:cs="Calibri" w:eastAsia="Calibri" w:hAnsi="Calibri"/>
                <w:b w:val="false"/>
                <w:bCs w:val="false"/>
                <w:i w:val="false"/>
                <w:iCs w:val="false"/>
                <w:color w:val="444444"/>
                <w:sz w:val="22"/>
                <w:szCs w:val="22"/>
              </w:rPr>
              <w:t>39.2% reg-to-sale</w:t>
            </w:r>
          </w:p>
        </w:tc>
      </w:tr>
      <w:tr>
        <w:tc>
          <w:tcPr>
            <w:tcW w:type="dxa" w:w="380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r>
              <w:rPr>
                <w:rFonts w:ascii="Calibri" w:cs="Calibri" w:eastAsia="Calibri" w:hAnsi="Calibri"/>
                <w:b/>
                <w:bCs/>
                <w:color w:val="1A1A1A"/>
                <w:sz w:val="22"/>
                <w:szCs w:val="22"/>
              </w:rPr>
              <w:t xml:space="preserve">Gross Revenue</w:t>
            </w:r>
          </w:p>
        </w:tc>
        <w:tc>
          <w:tcPr>
            <w:tcW w:type="dxa" w:w="228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right"/>
            </w:pPr>
            <w:r>
              <w:rPr>
                <w:rFonts w:ascii="Calibri" w:cs="Calibri" w:eastAsia="Calibri" w:hAnsi="Calibri"/>
                <w:b/>
                <w:bCs/>
                <w:color w:val="1A1A1A"/>
                <w:sz w:val="22"/>
                <w:szCs w:val="22"/>
              </w:rPr>
              <w:t>$5,219</w:t>
            </w:r>
          </w:p>
        </w:tc>
        <w:tc>
          <w:tcPr>
            <w:tcW w:type="dxa" w:w="3280"/>
            <w:tcBorders>
              <w:top w:val="single" w:color="C0B8D0" w:sz="1"/>
              <w:left w:val="single" w:color="C0B8D0" w:sz="1"/>
              <w:bottom w:val="single" w:color="C0B8D0" w:sz="1"/>
              <w:right w:val="single" w:color="C0B8D0" w:sz="1"/>
            </w:tcBorders>
            <w:shd w:fill="F5F3FA" w:val="clear"/>
            <w:tcMar>
              <w:top w:type="dxa" w:w="60"/>
              <w:left w:type="dxa" w:w="120"/>
              <w:bottom w:type="dxa" w:w="60"/>
              <w:right w:type="dxa" w:w="120"/>
            </w:tcMar>
          </w:tcPr>
          <w:p>
            <w:pPr>
              <w:jc w:val="right"/>
            </w:pPr>
            <w:r>
              <w:rPr>
                <w:rFonts w:ascii="Calibri" w:cs="Calibri" w:eastAsia="Calibri" w:hAnsi="Calibri"/>
                <w:b w:val="false"/>
                <w:bCs w:val="false"/>
                <w:i/>
                <w:iCs/>
                <w:color w:val="444444"/>
                <w:sz w:val="22"/>
                <w:szCs w:val="22"/>
              </w:rPr>
              <w:t xml:space="preserve">—</w:t>
            </w:r>
          </w:p>
        </w:tc>
      </w:tr>
      <w:tr>
        <w:tc>
          <w:tcPr>
            <w:tcW w:type="dxa" w:w="380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r>
              <w:rPr>
                <w:rFonts w:ascii="Calibri" w:cs="Calibri" w:eastAsia="Calibri" w:hAnsi="Calibri"/>
                <w:b/>
                <w:bCs/>
                <w:color w:val="1A1A1A"/>
                <w:sz w:val="22"/>
                <w:szCs w:val="22"/>
              </w:rPr>
              <w:t xml:space="preserve">Average Order Value</w:t>
            </w:r>
          </w:p>
        </w:tc>
        <w:tc>
          <w:tcPr>
            <w:tcW w:type="dxa" w:w="228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pPr>
              <w:jc w:val="right"/>
            </w:pPr>
            <w:r>
              <w:rPr>
                <w:rFonts w:ascii="Calibri" w:cs="Calibri" w:eastAsia="Calibri" w:hAnsi="Calibri"/>
                <w:b/>
                <w:bCs/>
                <w:color w:val="1A1A1A"/>
                <w:sz w:val="22"/>
                <w:szCs w:val="22"/>
              </w:rPr>
              <w:t>$111.04</w:t>
            </w:r>
          </w:p>
        </w:tc>
        <w:tc>
          <w:tcPr>
            <w:tcW w:type="dxa" w:w="3280"/>
            <w:tcBorders>
              <w:top w:val="single" w:color="C0B8D0" w:sz="1"/>
              <w:left w:val="single" w:color="C0B8D0" w:sz="1"/>
              <w:bottom w:val="single" w:color="C0B8D0" w:sz="1"/>
              <w:right w:val="single" w:color="C0B8D0" w:sz="1"/>
            </w:tcBorders>
            <w:shd w:fill="FFFFFF" w:val="clear"/>
            <w:tcMar>
              <w:top w:type="dxa" w:w="60"/>
              <w:left w:type="dxa" w:w="120"/>
              <w:bottom w:type="dxa" w:w="60"/>
              <w:right w:type="dxa" w:w="120"/>
            </w:tcMar>
          </w:tcPr>
          <w:p>
            <w:pPr>
              <w:jc w:val="right"/>
            </w:pPr>
            <w:r>
              <w:rPr>
                <w:rFonts w:ascii="Calibri" w:cs="Calibri" w:eastAsia="Calibri" w:hAnsi="Calibri"/>
                <w:b w:val="false"/>
                <w:bCs w:val="false"/>
                <w:i/>
                <w:iCs/>
                <w:color w:val="444444"/>
                <w:sz w:val="22"/>
                <w:szCs w:val="22"/>
              </w:rPr>
              <w:t xml:space="preserve">—</w:t>
            </w:r>
          </w:p>
        </w:tc>
      </w:tr>
    </w:tbl>
    <w:p>
      <w:pPr>
        <w:spacing w:after="0" w:before="120"/>
      </w:pPr>
    </w:p>
    <w:p>
      <w:pPr>
        <w:spacing w:after="80" w:before="80"/>
      </w:pPr>
      <w:r>
        <w:rPr>
          <w:rFonts w:ascii="Calibri" w:cs="Calibri" w:eastAsia="Calibri" w:hAnsi="Calibri"/>
          <w:b/>
          <w:bCs/>
          <w:i/>
          <w:iCs/>
          <w:color w:val="1A1A1A"/>
          <w:sz w:val="22"/>
          <w:szCs w:val="22"/>
        </w:rPr>
        <w:t xml:space="preserve">Note:</w:t>
      </w:r>
      <w:r>
        <w:rPr>
          <w:rFonts w:ascii="Calibri" w:cs="Calibri" w:eastAsia="Calibri" w:hAnsi="Calibri"/>
          <w:i/>
          <w:iCs/>
          <w:color w:val="1A1A1A"/>
          <w:sz w:val="22"/>
          <w:szCs w:val="22"/>
        </w:rPr>
        <w:t xml:space="preserve"> All figures are from the initial March 2026 launch event and the subsequent 5-day replay email sequence.</w:t>
      </w:r>
    </w:p>
    <w:p>
      <w:pPr>
        <w:spacing w:after="180" w:before="360"/>
      </w:pPr>
      <w:r>
        <w:rPr>
          <w:rFonts w:ascii="Calibri" w:cs="Calibri" w:eastAsia="Calibri" w:hAnsi="Calibri"/>
          <w:b/>
          <w:bCs/>
          <w:color w:val="1A0A2E"/>
          <w:sz w:val="28"/>
          <w:szCs w:val="28"/>
        </w:rPr>
        <w:t xml:space="preserve">KEY INSIGHTS</w:t>
      </w:r>
    </w:p>
    <w:p>
      <w:pPr>
        <w:spacing w:after="80" w:before="200"/>
      </w:pPr>
      <w:r>
        <w:rPr>
          <w:rFonts w:ascii="Calibri" w:cs="Calibri" w:eastAsia="Calibri" w:hAnsi="Calibri"/>
          <w:b/>
          <w:bCs/>
          <w:color w:val="1A0A2E"/>
          <w:sz w:val="24"/>
          <w:szCs w:val="24"/>
        </w:rPr>
        <w:t xml:space="preserve">1. 41.2% Live Close Rate</w:t>
      </w:r>
    </w:p>
    <w:p>
      <w:pPr>
        <w:spacing w:after="80" w:before="80"/>
      </w:pPr>
      <w:r>
        <w:rPr>
          <w:rFonts w:ascii="Calibri" w:cs="Calibri" w:eastAsia="Calibri" w:hAnsi="Calibri"/>
          <w:color w:val="1A1A1A"/>
          <w:sz w:val="22"/>
          <w:szCs w:val="22"/>
        </w:rPr>
        <w:t>The masterclass script converts at an exceptional rate. Attendees who watch the full presentation buy. This close rate far exceeds industry benchmarks for SaaS masterclass sales and demonstrates the strength of the Smash &amp; Grab format.</w:t>
      </w:r>
    </w:p>
    <w:p>
      <w:pPr>
        <w:spacing w:after="80" w:before="200"/>
      </w:pPr>
      <w:r>
        <w:rPr>
          <w:rFonts w:ascii="Calibri" w:cs="Calibri" w:eastAsia="Calibri" w:hAnsi="Calibri"/>
          <w:b/>
          <w:bCs/>
          <w:color w:val="1A0A2E"/>
          <w:sz w:val="24"/>
          <w:szCs w:val="24"/>
        </w:rPr>
        <w:t>2. Replay Sequence Drove 85.1% of Sales</w:t>
      </w:r>
    </w:p>
    <w:p>
      <w:pPr>
        <w:spacing w:after="80" w:before="80"/>
      </w:pPr>
      <w:r>
        <w:rPr>
          <w:rFonts w:ascii="Calibri" w:cs="Calibri" w:eastAsia="Calibri" w:hAnsi="Calibri"/>
          <w:color w:val="1A1A1A"/>
          <w:sz w:val="22"/>
          <w:szCs w:val="22"/>
        </w:rPr>
        <w:t>The 5-email post-masterclass replay sequence captured 40 of 47 total sales. This is a critical finding: the replay funnel is not an afterthought — it is the primary revenue engine. Every registrant who does not attend live still has multiple conversion touchpoints.</w:t>
      </w:r>
    </w:p>
    <w:p>
      <w:pPr>
        <w:spacing w:after="80" w:before="200"/>
      </w:pPr>
      <w:r>
        <w:rPr>
          <w:rFonts w:ascii="Calibri" w:cs="Calibri" w:eastAsia="Calibri" w:hAnsi="Calibri"/>
          <w:b/>
          <w:bCs/>
          <w:color w:val="1A0A2E"/>
          <w:sz w:val="24"/>
          <w:szCs w:val="24"/>
        </w:rPr>
        <w:t xml:space="preserve">3. Low-Friction Entry Point</w:t>
      </w:r>
    </w:p>
    <w:p>
      <w:pPr>
        <w:spacing w:after="80" w:before="80"/>
      </w:pPr>
      <w:r>
        <w:rPr>
          <w:rFonts w:ascii="Calibri" w:cs="Calibri" w:eastAsia="Calibri" w:hAnsi="Calibri"/>
          <w:color w:val="1A1A1A"/>
          <w:sz w:val="22"/>
          <w:szCs w:val="22"/>
        </w:rPr>
        <w:t xml:space="preserve">The $27/month Business tier eliminates common price objections. Buyers enter at a comfortable price point, experience the product's value, and naturally upgrade to Pro ($77/mo) or Agency ($127/mo) tiers as their needs expand.</w:t>
      </w:r>
    </w:p>
    <w:p>
      <w:pPr>
        <w:spacing w:after="80" w:before="200"/>
      </w:pPr>
      <w:r>
        <w:rPr>
          <w:rFonts w:ascii="Calibri" w:cs="Calibri" w:eastAsia="Calibri" w:hAnsi="Calibri"/>
          <w:b/>
          <w:bCs/>
          <w:color w:val="1A0A2E"/>
          <w:sz w:val="24"/>
          <w:szCs w:val="24"/>
        </w:rPr>
        <w:t xml:space="preserve">4. Recurring Revenue Engine</w:t>
      </w:r>
    </w:p>
    <w:p>
      <w:pPr>
        <w:spacing w:after="80" w:before="80"/>
      </w:pPr>
      <w:r>
        <w:rPr>
          <w:rFonts w:ascii="Calibri" w:cs="Calibri" w:eastAsia="Calibri" w:hAnsi="Calibri"/>
          <w:color w:val="1A1A1A"/>
          <w:sz w:val="22"/>
          <w:szCs w:val="22"/>
        </w:rPr>
        <w:t xml:space="preserve">Every sale generates monthly recurring revenue for both the vendor and affiliate partners. Unlike one-time product launches, this model creates compounding income streams. A single cohort of buyers generates predictable revenue month after month.</w:t>
      </w:r>
    </w:p>
    <w:p>
      <w:pPr>
        <w:spacing w:after="180" w:before="360"/>
      </w:pPr>
      <w:r>
        <w:rPr>
          <w:rFonts w:ascii="Calibri" w:cs="Calibri" w:eastAsia="Calibri" w:hAnsi="Calibri"/>
          <w:b/>
          <w:bCs/>
          <w:color w:val="1A0A2E"/>
          <w:sz w:val="28"/>
          <w:szCs w:val="28"/>
        </w:rPr>
        <w:t xml:space="preserve">CROSS-PRODUCT REVENUE PROOF</w:t>
      </w:r>
    </w:p>
    <w:p>
      <w:pPr>
        <w:spacing w:after="80" w:before="80"/>
      </w:pPr>
      <w:r>
        <w:rPr>
          <w:rFonts w:ascii="Calibri" w:cs="Calibri" w:eastAsia="Calibri" w:hAnsi="Calibri"/>
          <w:color w:val="1A1A1A"/>
          <w:sz w:val="22"/>
          <w:szCs w:val="22"/>
        </w:rPr>
        <w:t xml:space="preserve">Beyond the initial Optimancer sales, affiliate-referred customers have already begun purchasing additional Internet Dominators product lines — generating bonus commissions for the referring affiliates. This validates the lifetime commission model: once a customer enters through your referral, you earn on everything they buy, forever. This is not theoretical — it is already happening with our earliest affiliates.</w:t>
      </w:r>
    </w:p>
    <w:p>
      <w:r>
        <w:br w:type="page"/>
      </w:r>
    </w:p>
    <w:p>
      <w:pPr>
        <w:spacing w:after="180" w:before="360"/>
      </w:pPr>
      <w:r>
        <w:rPr>
          <w:rFonts w:ascii="Calibri" w:cs="Calibri" w:eastAsia="Calibri" w:hAnsi="Calibri"/>
          <w:b/>
          <w:bCs/>
          <w:color w:val="1A0A2E"/>
          <w:sz w:val="28"/>
          <w:szCs w:val="28"/>
        </w:rPr>
        <w:t xml:space="preserve">WHAT THIS MEANS FOR PARTNERS</w:t>
      </w:r>
    </w:p>
    <w:p>
      <w:pPr>
        <w:spacing w:after="80" w:before="80"/>
      </w:pPr>
      <w:r>
        <w:rPr>
          <w:rFonts w:ascii="Calibri" w:cs="Calibri" w:eastAsia="Calibri" w:hAnsi="Calibri"/>
          <w:color w:val="1A1A1A"/>
          <w:sz w:val="22"/>
          <w:szCs w:val="22"/>
        </w:rPr>
        <w:t xml:space="preserve">The funnel is proven and ready to scale. Partners benefit from a fully tested system with documented conversion rates at every stage. As demonstrated in the cross-product revenue proof above, affiliates are already earning additional commissions from referred customers purchasing other Internet Dominators products — validating the lifetime commission model in practice.</w:t>
      </w:r>
    </w:p>
    <w:p>
      <w:pPr>
        <w:spacing w:after="0" w:before="80"/>
      </w:pPr>
    </w:p>
    <w:p>
      <w:pPr>
        <w:spacing w:after="80" w:before="80"/>
      </w:pPr>
      <w:r>
        <w:rPr>
          <w:rFonts w:ascii="Calibri" w:cs="Calibri" w:eastAsia="Calibri" w:hAnsi="Calibri"/>
          <w:b/>
          <w:bCs/>
          <w:color w:val="1A1A1A"/>
          <w:sz w:val="22"/>
          <w:szCs w:val="22"/>
        </w:rPr>
        <w:t xml:space="preserve">Commission Structure:</w:t>
      </w:r>
    </w:p>
    <w:p>
      <w:pPr>
        <w:pStyle w:val="ListParagraph"/>
        <w:numPr>
          <w:ilvl w:val="0"/>
          <w:numId w:val="2"/>
        </w:numPr>
        <w:spacing w:after="60" w:before="60"/>
      </w:pPr>
      <w:r>
        <w:rPr>
          <w:rFonts w:ascii="Calibri" w:cs="Calibri" w:eastAsia="Calibri" w:hAnsi="Calibri"/>
          <w:b/>
          <w:bCs/>
          <w:color w:val="1A1A1A"/>
          <w:sz w:val="22"/>
          <w:szCs w:val="22"/>
        </w:rPr>
        <w:t xml:space="preserve">50% upfront commission</w:t>
      </w:r>
      <w:r>
        <w:rPr>
          <w:rFonts w:ascii="Calibri" w:cs="Calibri" w:eastAsia="Calibri" w:hAnsi="Calibri"/>
          <w:color w:val="1A1A1A"/>
          <w:sz w:val="22"/>
          <w:szCs w:val="22"/>
        </w:rPr>
        <w:t xml:space="preserve"> on every initial sale</w:t>
      </w:r>
    </w:p>
    <w:p>
      <w:pPr>
        <w:pStyle w:val="ListParagraph"/>
        <w:numPr>
          <w:ilvl w:val="0"/>
          <w:numId w:val="2"/>
        </w:numPr>
        <w:spacing w:after="60" w:before="60"/>
      </w:pPr>
      <w:r>
        <w:rPr>
          <w:rFonts w:ascii="Calibri" w:cs="Calibri" w:eastAsia="Calibri" w:hAnsi="Calibri"/>
          <w:b/>
          <w:bCs/>
          <w:color w:val="1A1A1A"/>
          <w:sz w:val="22"/>
          <w:szCs w:val="22"/>
        </w:rPr>
        <w:t xml:space="preserve">25% recurring commission forever</w:t>
      </w:r>
      <w:r>
        <w:rPr>
          <w:rFonts w:ascii="Calibri" w:cs="Calibri" w:eastAsia="Calibri" w:hAnsi="Calibri"/>
          <w:color w:val="1A1A1A"/>
          <w:sz w:val="22"/>
          <w:szCs w:val="22"/>
        </w:rPr>
        <w:t xml:space="preserve"> on all monthly payments</w:t>
      </w:r>
    </w:p>
    <w:p>
      <w:pPr>
        <w:pStyle w:val="ListParagraph"/>
        <w:numPr>
          <w:ilvl w:val="0"/>
          <w:numId w:val="2"/>
        </w:numPr>
        <w:spacing w:after="60" w:before="60"/>
      </w:pPr>
      <w:r>
        <w:rPr>
          <w:rFonts w:ascii="Calibri" w:cs="Calibri" w:eastAsia="Calibri" w:hAnsi="Calibri"/>
          <w:color w:val="1A1A1A"/>
          <w:sz w:val="22"/>
          <w:szCs w:val="22"/>
        </w:rPr>
        <w:t xml:space="preserve">Same commission rate across all pricing tiers</w:t>
      </w:r>
    </w:p>
    <w:p>
      <w:pPr>
        <w:spacing w:after="0" w:before="80"/>
      </w:pPr>
    </w:p>
    <w:p>
      <w:pPr>
        <w:spacing w:after="80" w:before="80"/>
      </w:pPr>
      <w:r>
        <w:rPr>
          <w:rFonts w:ascii="Calibri" w:cs="Calibri" w:eastAsia="Calibri" w:hAnsi="Calibri"/>
          <w:b/>
          <w:bCs/>
          <w:color w:val="1A1A1A"/>
          <w:sz w:val="22"/>
          <w:szCs w:val="22"/>
        </w:rPr>
        <w:t xml:space="preserve">Done-for-You Promotional Assets:</w:t>
      </w:r>
    </w:p>
    <w:p>
      <w:pPr>
        <w:pStyle w:val="ListParagraph"/>
        <w:numPr>
          <w:ilvl w:val="0"/>
          <w:numId w:val="2"/>
        </w:numPr>
        <w:spacing w:after="60" w:before="60"/>
      </w:pPr>
      <w:r>
        <w:rPr>
          <w:rFonts w:ascii="Calibri" w:cs="Calibri" w:eastAsia="Calibri" w:hAnsi="Calibri"/>
          <w:color w:val="1A1A1A"/>
          <w:sz w:val="22"/>
          <w:szCs w:val="22"/>
        </w:rPr>
        <w:t>Complete email swipe copy (12 pre/post masterclass emails)</w:t>
      </w:r>
    </w:p>
    <w:p>
      <w:pPr>
        <w:pStyle w:val="ListParagraph"/>
        <w:numPr>
          <w:ilvl w:val="0"/>
          <w:numId w:val="2"/>
        </w:numPr>
        <w:spacing w:after="60" w:before="60"/>
      </w:pPr>
      <w:r>
        <w:rPr>
          <w:rFonts w:ascii="Calibri" w:cs="Calibri" w:eastAsia="Calibri" w:hAnsi="Calibri"/>
          <w:color w:val="1A1A1A"/>
          <w:sz w:val="22"/>
          <w:szCs w:val="22"/>
        </w:rPr>
        <w:t xml:space="preserve">10 social media posts, ready to publish</w:t>
      </w:r>
    </w:p>
    <w:p>
      <w:pPr>
        <w:pStyle w:val="ListParagraph"/>
        <w:numPr>
          <w:ilvl w:val="0"/>
          <w:numId w:val="2"/>
        </w:numPr>
        <w:spacing w:after="60" w:before="60"/>
      </w:pPr>
      <w:r>
        <w:rPr>
          <w:rFonts w:ascii="Calibri" w:cs="Calibri" w:eastAsia="Calibri" w:hAnsi="Calibri"/>
          <w:color w:val="1A1A1A"/>
          <w:sz w:val="22"/>
          <w:szCs w:val="22"/>
        </w:rPr>
        <w:t xml:space="preserve">6 ad variations for paid traffic campaigns</w:t>
      </w:r>
    </w:p>
    <w:p>
      <w:pPr>
        <w:pStyle w:val="ListParagraph"/>
        <w:numPr>
          <w:ilvl w:val="0"/>
          <w:numId w:val="2"/>
        </w:numPr>
        <w:spacing w:after="60" w:before="60"/>
      </w:pPr>
      <w:r>
        <w:rPr>
          <w:rFonts w:ascii="Calibri" w:cs="Calibri" w:eastAsia="Calibri" w:hAnsi="Calibri"/>
          <w:color w:val="1A1A1A"/>
          <w:sz w:val="22"/>
          <w:szCs w:val="22"/>
        </w:rPr>
        <w:t xml:space="preserve">Pre-built landing pages, replay pages, and sales pages</w:t>
      </w:r>
    </w:p>
    <w:p>
      <w:pPr>
        <w:pStyle w:val="ListParagraph"/>
        <w:numPr>
          <w:ilvl w:val="0"/>
          <w:numId w:val="2"/>
        </w:numPr>
        <w:spacing w:after="60" w:before="60"/>
      </w:pPr>
      <w:r>
        <w:rPr>
          <w:rFonts w:ascii="Calibri" w:cs="Calibri" w:eastAsia="Calibri" w:hAnsi="Calibri"/>
          <w:color w:val="1A1A1A"/>
          <w:sz w:val="22"/>
          <w:szCs w:val="22"/>
        </w:rPr>
        <w:t xml:space="preserve">Real-time tracking dashboard for monitoring conversions</w:t>
      </w:r>
    </w:p>
    <w:p>
      <w:pPr>
        <w:pStyle w:val="ListParagraph"/>
        <w:numPr>
          <w:ilvl w:val="0"/>
          <w:numId w:val="2"/>
        </w:numPr>
        <w:spacing w:after="60" w:before="60"/>
      </w:pPr>
      <w:r>
        <w:rPr>
          <w:rFonts w:ascii="Calibri" w:cs="Calibri" w:eastAsia="Calibri" w:hAnsi="Calibri"/>
          <w:color w:val="1A1A1A"/>
          <w:sz w:val="22"/>
          <w:szCs w:val="22"/>
        </w:rPr>
        <w:t xml:space="preserve">Dedicated affiliate manager for personalized support</w:t>
      </w:r>
    </w:p>
    <w:p>
      <w:pPr>
        <w:spacing w:after="0" w:before="80"/>
      </w:pPr>
    </w:p>
    <w:p>
      <w:pPr>
        <w:spacing w:after="80" w:before="80"/>
      </w:pPr>
      <w:r>
        <w:rPr>
          <w:rFonts w:ascii="Calibri" w:cs="Calibri" w:eastAsia="Calibri" w:hAnsi="Calibri"/>
          <w:b/>
          <w:bCs/>
          <w:color w:val="1A1A1A"/>
          <w:sz w:val="22"/>
          <w:szCs w:val="22"/>
        </w:rPr>
        <w:t>On-Demand Masterclass: An on-demand masterclass funnel is now available — partners can promote on their own schedule and prospects can watch immediately after registering.</w:t>
      </w:r>
      <w:r>
        <w:rPr>
          <w:rFonts w:ascii="Calibri" w:cs="Calibri" w:eastAsia="Calibri" w:hAnsi="Calibri"/>
          <w:color w:val="1A1A1A"/>
          <w:sz w:val="22"/>
          <w:szCs w:val="22"/>
        </w:rPr>
      </w:r>
    </w:p>
    <w:p>
      <w:pPr>
        <w:spacing w:after="180" w:before="360"/>
      </w:pPr>
      <w:r>
        <w:rPr>
          <w:rFonts w:ascii="Calibri" w:cs="Calibri" w:eastAsia="Calibri" w:hAnsi="Calibri"/>
          <w:b/>
          <w:bCs/>
          <w:color w:val="1A0A2E"/>
          <w:sz w:val="28"/>
          <w:szCs w:val="28"/>
        </w:rPr>
        <w:t xml:space="preserve">IMPROVEMENT ROADMAP</w:t>
      </w:r>
    </w:p>
    <w:p>
      <w:pPr>
        <w:spacing w:after="80" w:before="80"/>
      </w:pPr>
      <w:r>
        <w:rPr>
          <w:rFonts w:ascii="Calibri" w:cs="Calibri" w:eastAsia="Calibri" w:hAnsi="Calibri"/>
          <w:color w:val="1A1A1A"/>
          <w:sz w:val="22"/>
          <w:szCs w:val="22"/>
        </w:rPr>
        <w:t xml:space="preserve">While the initial results are extraordinary, several optimization opportunities will increase performance further:</w:t>
      </w:r>
    </w:p>
    <w:p>
      <w:pPr>
        <w:spacing w:after="0" w:before="80"/>
      </w:pPr>
    </w:p>
    <w:p>
      <w:pPr>
        <w:pStyle w:val="ListParagraph"/>
        <w:numPr>
          <w:ilvl w:val="0"/>
          <w:numId w:val="3"/>
        </w:numPr>
        <w:spacing w:after="80" w:before="80"/>
      </w:pPr>
      <w:r>
        <w:rPr>
          <w:rFonts w:ascii="Calibri" w:cs="Calibri" w:eastAsia="Calibri" w:hAnsi="Calibri"/>
          <w:b/>
          <w:bCs/>
          <w:color w:val="1A1A1A"/>
          <w:sz w:val="22"/>
          <w:szCs w:val="22"/>
        </w:rPr>
        <w:t xml:space="preserve">Show Rate Optimization (14.2% → Target 25%+)</w:t>
      </w:r>
    </w:p>
    <w:p>
      <w:pPr>
        <w:spacing w:after="80" w:before="80"/>
      </w:pPr>
      <w:r>
        <w:rPr>
          <w:rFonts w:ascii="Calibri" w:cs="Calibri" w:eastAsia="Calibri" w:hAnsi="Calibri"/>
          <w:color w:val="1A1A1A"/>
          <w:sz w:val="22"/>
          <w:szCs w:val="22"/>
        </w:rPr>
        <w:t>Implementation of SMS reminders, calendar integration, and pre-masterclass engagement sequences will significantly boost live attendance from the current 14.2% to a target of 25% or above.</w:t>
      </w:r>
    </w:p>
    <w:p>
      <w:pPr>
        <w:spacing w:after="0" w:before="60"/>
      </w:pPr>
    </w:p>
    <w:p>
      <w:pPr>
        <w:pStyle w:val="ListParagraph"/>
        <w:numPr>
          <w:ilvl w:val="0"/>
          <w:numId w:val="3"/>
        </w:numPr>
        <w:spacing w:after="80" w:before="80"/>
      </w:pPr>
      <w:r>
        <w:rPr>
          <w:rFonts w:ascii="Calibri" w:cs="Calibri" w:eastAsia="Calibri" w:hAnsi="Calibri"/>
          <w:b/>
          <w:bCs/>
          <w:color w:val="1A1A1A"/>
          <w:sz w:val="22"/>
          <w:szCs w:val="22"/>
        </w:rPr>
        <w:t>On-Demand Masterclass Deployment</w:t>
      </w:r>
    </w:p>
    <w:p>
      <w:pPr>
        <w:spacing w:after="80" w:before="80"/>
      </w:pPr>
      <w:r>
        <w:rPr>
          <w:rFonts w:ascii="Calibri" w:cs="Calibri" w:eastAsia="Calibri" w:hAnsi="Calibri"/>
          <w:color w:val="1A1A1A"/>
          <w:sz w:val="22"/>
          <w:szCs w:val="22"/>
        </w:rPr>
        <w:t>On-demand masterclass eliminates scheduling friction — prospects watch immediately after registering.</w:t>
      </w:r>
    </w:p>
    <w:p>
      <w:pPr>
        <w:spacing w:after="0" w:before="60"/>
      </w:pPr>
    </w:p>
    <w:p>
      <w:pPr>
        <w:pStyle w:val="ListParagraph"/>
        <w:numPr>
          <w:ilvl w:val="0"/>
          <w:numId w:val="3"/>
        </w:numPr>
        <w:spacing w:after="80" w:before="80"/>
      </w:pPr>
      <w:r>
        <w:rPr>
          <w:rFonts w:ascii="Calibri" w:cs="Calibri" w:eastAsia="Calibri" w:hAnsi="Calibri"/>
          <w:b/>
          <w:bCs/>
          <w:color w:val="1A1A1A"/>
          <w:sz w:val="22"/>
          <w:szCs w:val="22"/>
        </w:rPr>
        <w:t xml:space="preserve">Expanded Retargeting &amp; Follow-Up Sequences</w:t>
      </w:r>
    </w:p>
    <w:p>
      <w:pPr>
        <w:spacing w:after="80" w:before="80"/>
      </w:pPr>
      <w:r>
        <w:rPr>
          <w:rFonts w:ascii="Calibri" w:cs="Calibri" w:eastAsia="Calibri" w:hAnsi="Calibri"/>
          <w:color w:val="1A1A1A"/>
          <w:sz w:val="22"/>
          <w:szCs w:val="22"/>
        </w:rPr>
        <w:t>Additional post-masterclass touchpoints, including retargeting ads and extended email sequences, will capture more revenue from registrants who did not convert during the initial 5-day window.</w:t>
      </w:r>
    </w:p>
    <w:p>
      <w:pPr>
        <w:spacing w:after="0" w:before="600"/>
      </w:pPr>
    </w:p>
    <w:p>
      <w:pPr>
        <w:spacing w:after="200" w:before="200"/>
      </w:pPr>
      <w:r>
        <w:rPr>
          <w:rFonts w:ascii="Calibri" w:cs="Calibri" w:eastAsia="Calibri" w:hAnsi="Calibri"/>
          <w:color w:val="C0B8D0"/>
          <w:sz w:val="16"/>
          <w:szCs w:val="16"/>
        </w:rPr>
        <w:t xml:space="preserve">━━━━━━━━━━━━━━━━━━━━━━━━━━━━━━━━━━━━━━━━━━━━━━━━━━━━━━━━━━━━</w:t>
      </w:r>
    </w:p>
    <w:p>
      <w:pPr>
        <w:spacing w:after="60" w:before="0"/>
      </w:pPr>
      <w:r>
        <w:rPr>
          <w:rFonts w:ascii="Calibri" w:cs="Calibri" w:eastAsia="Calibri" w:hAnsi="Calibri"/>
          <w:b/>
          <w:bCs/>
          <w:color w:val="444444"/>
          <w:sz w:val="18"/>
          <w:szCs w:val="18"/>
        </w:rPr>
        <w:t xml:space="preserve">DISCLOSURE</w:t>
      </w:r>
    </w:p>
    <w:p>
      <w:pPr>
        <w:spacing w:after="0" w:before="0"/>
      </w:pPr>
      <w:r>
        <w:rPr>
          <w:rFonts w:ascii="Calibri" w:cs="Calibri" w:eastAsia="Calibri" w:hAnsi="Calibri"/>
          <w:i/>
          <w:iCs/>
          <w:color w:val="444444"/>
          <w:sz w:val="18"/>
          <w:szCs w:val="18"/>
        </w:rPr>
        <w:t xml:space="preserve">Results shown are from an initial launch and may not be typical. Individual results will vary based on list quality, audience fit, and promotional effort. This case study is for informational purposes only and does not constitute a guarantee of earnings.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99999"/>
        <w:sz w:val="16"/>
        <w:szCs w:val="16"/>
      </w:rPr>
      <w:t xml:space="preserve">Internet Dominators  |  Page </w:t>
    </w:r>
    <w:r>
      <w:rPr>
        <w:rFonts w:ascii="Calibri" w:cs="Calibri" w:eastAsia="Calibri" w:hAnsi="Calibri"/>
        <w:color w:val="999999"/>
        <w:sz w:val="16"/>
        <w:szCs w:val="16"/>
      </w:rPr>
      <w:fldChar w:fldCharType="begin"/>
      <w:instrText xml:space="preserve">PAGE</w:instrText>
      <w:fldChar w:fldCharType="separate"/>
      <w:fldChar w:fldCharType="end"/>
    </w:r>
    <w:r>
      <w:rPr>
        <w:rFonts w:ascii="Calibri" w:cs="Calibri" w:eastAsia="Calibri" w:hAnsi="Calibri"/>
        <w:color w:val="999999"/>
        <w:sz w:val="16"/>
        <w:szCs w:val="16"/>
      </w:rPr>
      <w:t xml:space="preserve"> of </w:t>
    </w:r>
    <w:r>
      <w:rPr>
        <w:rFonts w:ascii="Calibri" w:cs="Calibri" w:eastAsia="Calibri" w:hAnsi="Calibri"/>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999999"/>
        <w:sz w:val="16"/>
        <w:szCs w:val="16"/>
      </w:rPr>
      <w:t xml:space="preserve">Optimancer Webinar Case Study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A0A2E"/>
      <w:sz w:val="36"/>
      <w:szCs w:val="36"/>
    </w:rPr>
  </w:style>
  <w:style w:type="paragraph" w:styleId="Heading2">
    <w:name w:val="Heading 2"/>
    <w:basedOn w:val="Normal"/>
    <w:next w:val="Normal"/>
    <w:qFormat/>
    <w:pPr>
      <w:spacing w:after="140" w:before="280"/>
      <w:outlineLvl w:val="1"/>
    </w:pPr>
    <w:rPr>
      <w:rFonts w:ascii="Calibri" w:cs="Calibri" w:eastAsia="Calibri" w:hAnsi="Calibri"/>
      <w:b/>
      <w:bCs/>
      <w:color w:val="1A0A2E"/>
      <w:sz w:val="28"/>
      <w:szCs w:val="28"/>
    </w:rPr>
  </w:style>
  <w:style w:type="paragraph" w:styleId="Heading3">
    <w:name w:val="Heading 3"/>
    <w:basedOn w:val="Normal"/>
    <w:next w:val="Normal"/>
    <w:qFormat/>
    <w:pPr>
      <w:spacing w:after="110" w:before="220"/>
      <w:outlineLvl w:val="2"/>
    </w:pPr>
    <w:rPr>
      <w:rFonts w:ascii="Calibri" w:cs="Calibri" w:eastAsia="Calibri" w:hAnsi="Calibri"/>
      <w:b/>
      <w:bCs/>
      <w:color w:val="1A1A1A"/>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2026-03-21T18:14:57.351Z</dcterms:created>
  <dcterms:modified xsi:type="dcterms:W3CDTF">2026-03-21T18:14:57.352Z</dcterms:modified>
</cp:coreProperties>
</file>

<file path=docProps/custom.xml><?xml version="1.0" encoding="utf-8"?>
<Properties xmlns="http://schemas.openxmlformats.org/officeDocument/2006/custom-properties" xmlns:vt="http://schemas.openxmlformats.org/officeDocument/2006/docPropsVTypes"/>
</file>